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="宋体" w:hAnsi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实训场景4：</w:t>
      </w:r>
      <w:bookmarkStart w:id="0" w:name="_GoBack"/>
      <w:r>
        <w:rPr>
          <w:rFonts w:hint="eastAsia" w:ascii="宋体" w:hAnsi="宋体" w:cs="宋体"/>
          <w:b/>
          <w:bCs/>
          <w:kern w:val="0"/>
          <w:szCs w:val="21"/>
        </w:rPr>
        <w:t>超大、超重货物</w:t>
      </w:r>
    </w:p>
    <w:bookmarkEnd w:id="0"/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超大、超重货物是从业人员对物流货物体积和重量的一种感性认知，是一种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  <w:lang w:eastAsia="zh-CN"/>
        </w:rPr>
        <w:t>。（</w:t>
      </w:r>
      <w:r>
        <w:rPr>
          <w:rFonts w:hint="eastAsia" w:ascii="宋体" w:hAnsi="宋体" w:cs="宋体"/>
          <w:kern w:val="0"/>
          <w:szCs w:val="21"/>
        </w:rPr>
        <w:t>相对概念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对于物流从业人员来说，一般来是以相对物流的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和体积来衡量的，没有非常确切指定大件物流的主体为多重、体积有多大，属于一种行业习惯称谓。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重量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对于物流从业人员来说，一般来是以相对物流的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重量</w:t>
      </w:r>
      <w:r>
        <w:rPr>
          <w:rFonts w:hint="eastAsia" w:ascii="宋体" w:hAnsi="宋体" w:cs="宋体"/>
          <w:kern w:val="0"/>
          <w:szCs w:val="21"/>
        </w:rPr>
        <w:t>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来衡量的，没有非常确切指定大件物流的主体为多重、体积有多大，属于一种行业习惯称谓。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</w:rPr>
        <w:t>体积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ascii="宋体" w:hAnsi="宋体" w:cs="宋体"/>
          <w:kern w:val="0"/>
          <w:szCs w:val="21"/>
        </w:rPr>
        <w:t>一件货物装车后，在平直线路上停留时，货物的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ascii="宋体" w:hAnsi="宋体" w:cs="宋体"/>
          <w:kern w:val="0"/>
          <w:szCs w:val="21"/>
        </w:rPr>
        <w:t>和宽度有任何部位超过机车车辆限界者，即为超</w:t>
      </w:r>
      <w:r>
        <w:rPr>
          <w:rFonts w:hint="eastAsia" w:ascii="宋体" w:hAnsi="宋体" w:cs="宋体"/>
          <w:kern w:val="0"/>
          <w:szCs w:val="21"/>
        </w:rPr>
        <w:t>大</w:t>
      </w:r>
      <w:r>
        <w:rPr>
          <w:rFonts w:ascii="宋体" w:hAnsi="宋体" w:cs="宋体"/>
          <w:kern w:val="0"/>
          <w:szCs w:val="21"/>
        </w:rPr>
        <w:t>货物。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高度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ascii="宋体" w:hAnsi="宋体" w:cs="宋体"/>
          <w:kern w:val="0"/>
          <w:szCs w:val="21"/>
        </w:rPr>
        <w:t>一件货物装车后，在平直线路上停留时，货物的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高度</w:t>
      </w:r>
      <w:r>
        <w:rPr>
          <w:rFonts w:ascii="宋体" w:hAnsi="宋体" w:cs="宋体"/>
          <w:kern w:val="0"/>
          <w:szCs w:val="21"/>
        </w:rPr>
        <w:t>和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ascii="宋体" w:hAnsi="宋体" w:cs="宋体"/>
          <w:kern w:val="0"/>
          <w:szCs w:val="21"/>
        </w:rPr>
        <w:t>有任何部位超过机车车辆限界者，即为超</w:t>
      </w:r>
      <w:r>
        <w:rPr>
          <w:rFonts w:hint="eastAsia" w:ascii="宋体" w:hAnsi="宋体" w:cs="宋体"/>
          <w:kern w:val="0"/>
          <w:szCs w:val="21"/>
        </w:rPr>
        <w:t>大</w:t>
      </w:r>
      <w:r>
        <w:rPr>
          <w:rFonts w:ascii="宋体" w:hAnsi="宋体" w:cs="宋体"/>
          <w:kern w:val="0"/>
          <w:szCs w:val="21"/>
        </w:rPr>
        <w:t>货物。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宽度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一件货物装车后，在平直线路上停留虽不超限，但行经半径为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ascii="宋体" w:hAnsi="宋体" w:cs="宋体"/>
          <w:kern w:val="0"/>
          <w:szCs w:val="21"/>
        </w:rPr>
        <w:t>米的曲线线路时，货物的内侧或外侧的计算宽度仍然超限的，</w:t>
      </w:r>
      <w:r>
        <w:rPr>
          <w:rFonts w:hint="eastAsia" w:ascii="宋体" w:hAnsi="宋体" w:cs="宋体"/>
          <w:kern w:val="0"/>
          <w:szCs w:val="21"/>
        </w:rPr>
        <w:t>也</w:t>
      </w:r>
      <w:r>
        <w:rPr>
          <w:rFonts w:ascii="宋体" w:hAnsi="宋体" w:cs="宋体"/>
          <w:kern w:val="0"/>
          <w:szCs w:val="21"/>
        </w:rPr>
        <w:t>为超</w:t>
      </w:r>
      <w:r>
        <w:rPr>
          <w:rFonts w:hint="eastAsia" w:ascii="宋体" w:hAnsi="宋体" w:cs="宋体"/>
          <w:kern w:val="0"/>
          <w:szCs w:val="21"/>
        </w:rPr>
        <w:t>大</w:t>
      </w:r>
      <w:r>
        <w:rPr>
          <w:rFonts w:ascii="宋体" w:hAnsi="宋体" w:cs="宋体"/>
          <w:kern w:val="0"/>
          <w:szCs w:val="21"/>
        </w:rPr>
        <w:t>货物。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300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对装载通过或到达特定装载限界区段内各站的货物，虽没有超出机车车辆限界，但超出特定区段的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ascii="宋体" w:hAnsi="宋体" w:cs="宋体"/>
          <w:kern w:val="0"/>
          <w:szCs w:val="21"/>
        </w:rPr>
        <w:t>时，也是超</w:t>
      </w:r>
      <w:r>
        <w:rPr>
          <w:rFonts w:hint="eastAsia" w:ascii="宋体" w:hAnsi="宋体" w:cs="宋体"/>
          <w:kern w:val="0"/>
          <w:szCs w:val="21"/>
        </w:rPr>
        <w:t>大</w:t>
      </w:r>
      <w:r>
        <w:rPr>
          <w:rFonts w:ascii="宋体" w:hAnsi="宋体" w:cs="宋体"/>
          <w:kern w:val="0"/>
          <w:szCs w:val="21"/>
        </w:rPr>
        <w:t>货物。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ascii="宋体" w:hAnsi="宋体" w:cs="宋体"/>
          <w:kern w:val="0"/>
          <w:szCs w:val="21"/>
        </w:rPr>
        <w:t>装载限界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超大超重货物的包装应有便于搬运装卸的设施，如便于叉车操作的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，吊车用的把环等。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底托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超大超重货物的包装应有便于搬运装卸的设施，如便于叉车操作的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底托</w:t>
      </w:r>
      <w:r>
        <w:rPr>
          <w:rFonts w:hint="eastAsia" w:ascii="宋体" w:hAnsi="宋体" w:cs="宋体"/>
          <w:kern w:val="0"/>
          <w:szCs w:val="21"/>
        </w:rPr>
        <w:t>，吊车用的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等。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把环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装机前应考虑超大、超重货物的尺寸、重量、飞机地板承受力等因素，当货物的重量超过机型的地板承受力时候，应加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垫板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装机时，超大、超重货物应放在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附近（便于卸机站卸货），并按规定的程序捆绑牢固，防止货物在飞行过程中发生移动或翻滚，损坏飞机或设备，危害飞行安全。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舱门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>
      <w:pPr>
        <w:numPr>
          <w:ilvl w:val="0"/>
          <w:numId w:val="1"/>
        </w:numPr>
        <w:tabs>
          <w:tab w:val="left" w:pos="353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超大、超重</w:t>
      </w:r>
      <w:r>
        <w:rPr>
          <w:rFonts w:hint="eastAsia" w:ascii="宋体" w:hAnsi="宋体" w:cs="宋体"/>
          <w:kern w:val="0"/>
          <w:szCs w:val="21"/>
        </w:rPr>
        <w:t>货物的重量超过机舱地板承受力的时，应有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____</w:t>
      </w:r>
      <w:r>
        <w:rPr>
          <w:rFonts w:hint="eastAsia" w:ascii="宋体" w:hAnsi="宋体" w:cs="宋体"/>
          <w:kern w:val="0"/>
          <w:szCs w:val="21"/>
        </w:rPr>
        <w:t>厚的木板垫底。</w:t>
      </w:r>
      <w:r>
        <w:rPr>
          <w:rFonts w:hint="eastAsia" w:ascii="宋体" w:hAnsi="宋体" w:cs="宋体"/>
          <w:kern w:val="0"/>
          <w:szCs w:val="21"/>
          <w:lang w:eastAsia="zh-CN"/>
        </w:rPr>
        <w:t>（</w:t>
      </w:r>
      <w:r>
        <w:rPr>
          <w:rFonts w:ascii="宋体" w:hAnsi="宋体" w:cs="TimesNewRoman"/>
          <w:kern w:val="0"/>
          <w:szCs w:val="21"/>
        </w:rPr>
        <w:t>2</w:t>
      </w:r>
      <w:r>
        <w:rPr>
          <w:rFonts w:hint="eastAsia" w:ascii="宋体" w:hAnsi="宋体" w:cs="TimesNewRoman"/>
          <w:kern w:val="0"/>
          <w:szCs w:val="21"/>
        </w:rPr>
        <w:t>--</w:t>
      </w:r>
      <w:r>
        <w:rPr>
          <w:rFonts w:ascii="宋体" w:hAnsi="宋体" w:cs="TimesNewRoman"/>
          <w:kern w:val="0"/>
          <w:szCs w:val="21"/>
        </w:rPr>
        <w:t>5</w:t>
      </w:r>
      <w:r>
        <w:rPr>
          <w:rFonts w:hint="eastAsia" w:ascii="宋体" w:hAnsi="宋体" w:cs="宋体"/>
          <w:kern w:val="0"/>
          <w:szCs w:val="21"/>
        </w:rPr>
        <w:t>厘米</w:t>
      </w:r>
      <w:r>
        <w:rPr>
          <w:rFonts w:hint="eastAsia" w:ascii="宋体" w:hAnsi="宋体" w:cs="宋体"/>
          <w:kern w:val="0"/>
          <w:szCs w:val="21"/>
          <w:lang w:eastAsia="zh-CN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1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EB584D"/>
    <w:multiLevelType w:val="singleLevel"/>
    <w:tmpl w:val="B9EB584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06497BCF"/>
    <w:rsid w:val="0649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2024-03-10T16:05:00Z</dcterms:created>
  <dc:creator>木兮</dc:creator>
  <cp:lastModifiedBy>木兮</cp:lastModifiedBy>
  <dcterms:modified xsi:type="dcterms:W3CDTF">2024-03-10T16:06:40Z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A7F0105604F4460C8308791D4EF57FE8_11</vt:lpwstr>
  </property>
</Properties>
</file>